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9D" w:rsidRDefault="0075279D" w:rsidP="0073262B">
      <w:pPr>
        <w:pStyle w:val="a3"/>
        <w:spacing w:before="116"/>
        <w:ind w:right="115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94615</wp:posOffset>
                </wp:positionV>
                <wp:extent cx="5057775" cy="809625"/>
                <wp:effectExtent l="0" t="0" r="2857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79D" w:rsidRPr="0075279D" w:rsidRDefault="00D61B10" w:rsidP="0075279D">
                            <w:pPr>
                              <w:shd w:val="clear" w:color="auto" w:fill="8EAADB" w:themeFill="accent5" w:themeFillTint="99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«ΕΝΙΣΧΥΣΗ </w:t>
                            </w:r>
                            <w:r w:rsidR="0075279D" w:rsidRPr="0075279D">
                              <w:rPr>
                                <w:b/>
                                <w:color w:val="000000" w:themeColor="text1"/>
                              </w:rPr>
                              <w:t xml:space="preserve"> ΓΝΩΣΕΩΝ ΚΑΙ ΔΕΞΙΟΤΗΤΩΝ ΕΡΓΑΖΟΜΕΝΩΝ ΣΕ ΘΕΜΑΤΙΚΑ ΑΝΤΙΚΕΙΜΕΝΑ ΕΞΟΙΚΟΝΟΜΗΣΗΣ ΕΝΕΡΓΕΙΑΣ ΣΕ ΚΤΙΡΙΑ ΜΕΣΩ ΚΑΤΑΛΛΗΛΩΝ ΕΓΚΑΤΑΣΤΑΣΕΩΝ ΚΑΙ ΔΟΜΙΚΩΝ ΥΛΙΚΩΝ ΚΑΙ ΕΦΑΡΜΟΓΩΝ ΑΝΑΝΕΩΣΙΜΩΝ ΠΗΓΩΝ ΕΝΕΓΕΙΑΣ»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5.75pt;margin-top:7.45pt;width:398.2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" fillcolor="white [3201]" strokeweight=".5pt">
                <v:textbox>
                  <w:txbxContent>
                    <w:p w:rsidR="0075279D" w:rsidRPr="0075279D" w:rsidRDefault="00D61B10" w:rsidP="0075279D">
                      <w:pPr>
                        <w:shd w:val="clear" w:color="auto" w:fill="8EAADB" w:themeFill="accent5" w:themeFillTint="99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«ΕΝΙΣΧΥΣΗ </w:t>
                      </w:r>
                      <w:r w:rsidR="0075279D" w:rsidRPr="0075279D">
                        <w:rPr>
                          <w:b/>
                          <w:color w:val="000000" w:themeColor="text1"/>
                        </w:rPr>
                        <w:t xml:space="preserve"> ΓΝΩΣΕΩΝ ΚΑΙ ΔΕΞΙΟΤΗΤΩΝ ΕΡΓΑΖΟΜΕΝΩΝ ΣΕ ΘΕΜΑΤΙΚΑ ΑΝΤΙΚΕΙΜΕΝΑ ΕΞΟΙΚΟΝΟΜΗΣΗΣ ΕΝΕΡΓΕΙΑΣ ΣΕ ΚΤΙΡΙΑ ΜΕΣΩ ΚΑΤΑΛΛΗΛΩΝ ΕΓΚΑΤΑΣΤΑΣΕΩΝ ΚΑΙ ΔΟΜΙΚΩΝ ΥΛΙΚΩΝ ΚΑΙ ΕΦΑΡΜΟΓΩΝ ΑΝΑΝΕΩΣΙΜΩΝ ΠΗΓΩΝ ΕΝΕΓΕΙΑΣ»</w:t>
                      </w:r>
                    </w:p>
                  </w:txbxContent>
                </v:textbox>
              </v:shape>
            </w:pict>
          </mc:Fallback>
        </mc:AlternateContent>
      </w:r>
    </w:p>
    <w:p w:rsidR="0075279D" w:rsidRDefault="0075279D" w:rsidP="0073262B">
      <w:pPr>
        <w:pStyle w:val="a3"/>
        <w:spacing w:before="116"/>
        <w:ind w:right="115"/>
      </w:pPr>
    </w:p>
    <w:p w:rsidR="0075279D" w:rsidRDefault="0075279D" w:rsidP="0073262B">
      <w:pPr>
        <w:pStyle w:val="a3"/>
        <w:spacing w:before="116"/>
        <w:ind w:right="115"/>
      </w:pPr>
    </w:p>
    <w:p w:rsidR="0075279D" w:rsidRDefault="0075279D" w:rsidP="0073262B">
      <w:pPr>
        <w:pStyle w:val="a3"/>
        <w:spacing w:before="116"/>
        <w:ind w:right="115"/>
      </w:pPr>
    </w:p>
    <w:p w:rsidR="0073262B" w:rsidRPr="00155D30" w:rsidRDefault="0073262B" w:rsidP="0073262B">
      <w:pPr>
        <w:pStyle w:val="a3"/>
        <w:spacing w:before="116"/>
        <w:ind w:right="115"/>
        <w:rPr>
          <w:b/>
        </w:rPr>
      </w:pPr>
      <w:r>
        <w:t xml:space="preserve">Η </w:t>
      </w:r>
      <w:r w:rsidR="00195752">
        <w:rPr>
          <w:b/>
        </w:rPr>
        <w:t>ΟΜΟΣΠΟΝΔΙΑ ΗΛΕΚΤΡΟΛΟΓΩΝ ΕΛΛΑΔΑΣ</w:t>
      </w:r>
      <w:r w:rsidR="003843AB">
        <w:rPr>
          <w:b/>
        </w:rPr>
        <w:t xml:space="preserve"> (Ο.Η.</w:t>
      </w:r>
      <w:r>
        <w:rPr>
          <w:b/>
        </w:rPr>
        <w:t>Ε)</w:t>
      </w:r>
      <w:r>
        <w:rPr>
          <w:b/>
          <w:i/>
        </w:rPr>
        <w:t xml:space="preserve">, </w:t>
      </w:r>
      <w:r>
        <w:t xml:space="preserve">ως Δικαιούχος Φορέας της πράξης με τίτλο «Ενίσχυση των γνώσεων και δεξιοτήτων εργαζομένων σε θεματικά αντικείμενα εξοικονόμησης ενέργειας </w:t>
      </w:r>
      <w:r w:rsidR="00195752">
        <w:t xml:space="preserve">σε </w:t>
      </w:r>
      <w:r>
        <w:t>κτ</w:t>
      </w:r>
      <w:r w:rsidR="00195752">
        <w:t xml:space="preserve">ίρια μέσω κατάλληλων εγκαταστάσεων και δομικών υλικών και εφαρμογών ανανεώσιμων πηγών ενέργειας», με </w:t>
      </w:r>
      <w:r>
        <w:t xml:space="preserve"> 504776</w:t>
      </w:r>
      <w:r w:rsidR="00195752">
        <w:t>4</w:t>
      </w:r>
      <w:r>
        <w:t>, που υλοποιείται στο πλαίσιο του Ε.Π. «Ανταγωνιστικότητα, Επιχειρηματικότητα &amp; Καινοτομία 2014-2020», με συγχρηματοδότηση της Ελλάδας και της Ευρωπαϊκής Ένωσης,</w:t>
      </w:r>
      <w:r w:rsidRPr="0073262B">
        <w:t xml:space="preserve">  έχει αναλάβει την  </w:t>
      </w:r>
      <w:r w:rsidRPr="00EA4286">
        <w:t xml:space="preserve">υλοποίηση  </w:t>
      </w:r>
      <w:r w:rsidR="00EA4286">
        <w:t xml:space="preserve">της </w:t>
      </w:r>
      <w:r w:rsidR="00EA4286" w:rsidRPr="00EA4286">
        <w:t xml:space="preserve">βάσει της υπ’ Αρ. </w:t>
      </w:r>
      <w:r w:rsidR="00EA4286" w:rsidRPr="0009397B">
        <w:t xml:space="preserve">Πρωτ. </w:t>
      </w:r>
      <w:r w:rsidR="0009397B" w:rsidRPr="0009397B">
        <w:t>468</w:t>
      </w:r>
      <w:r w:rsidR="00195752">
        <w:t>2</w:t>
      </w:r>
      <w:r w:rsidR="0009397B" w:rsidRPr="0009397B">
        <w:t>/100</w:t>
      </w:r>
      <w:r w:rsidR="00195752">
        <w:t>0</w:t>
      </w:r>
      <w:r w:rsidR="0009397B" w:rsidRPr="0009397B">
        <w:t>/Α3/02-09-2020 Α</w:t>
      </w:r>
      <w:r w:rsidR="0009397B" w:rsidRPr="00155D30">
        <w:t>πόφασης Έγκρισης.</w:t>
      </w:r>
    </w:p>
    <w:p w:rsidR="007B1790" w:rsidRDefault="007B1790" w:rsidP="0073262B">
      <w:pPr>
        <w:pStyle w:val="a3"/>
        <w:spacing w:before="121"/>
        <w:ind w:right="111"/>
      </w:pPr>
      <w:r>
        <w:t>Αντικείμενο της πράξης είναι η</w:t>
      </w:r>
      <w:r w:rsidR="0073262B">
        <w:t xml:space="preserve"> </w:t>
      </w:r>
      <w:r w:rsidR="003D608A" w:rsidRPr="00910B36">
        <w:rPr>
          <w:b/>
        </w:rPr>
        <w:t>Σ</w:t>
      </w:r>
      <w:r w:rsidR="0073262B" w:rsidRPr="00910B36">
        <w:rPr>
          <w:b/>
        </w:rPr>
        <w:t xml:space="preserve">υμβουλευτική, </w:t>
      </w:r>
      <w:r>
        <w:rPr>
          <w:b/>
        </w:rPr>
        <w:t xml:space="preserve">η </w:t>
      </w:r>
      <w:r w:rsidR="003D608A" w:rsidRPr="00910B36">
        <w:rPr>
          <w:b/>
        </w:rPr>
        <w:t>Κ</w:t>
      </w:r>
      <w:r w:rsidR="0073262B" w:rsidRPr="00910B36">
        <w:rPr>
          <w:b/>
        </w:rPr>
        <w:t xml:space="preserve">ατάρτιση και </w:t>
      </w:r>
      <w:r>
        <w:rPr>
          <w:b/>
        </w:rPr>
        <w:t xml:space="preserve">η </w:t>
      </w:r>
      <w:r w:rsidR="003D608A" w:rsidRPr="00910B36">
        <w:rPr>
          <w:b/>
        </w:rPr>
        <w:t>Π</w:t>
      </w:r>
      <w:r w:rsidR="0073262B" w:rsidRPr="00910B36">
        <w:rPr>
          <w:b/>
        </w:rPr>
        <w:t>ιστοποίηση</w:t>
      </w:r>
      <w:r w:rsidR="0073262B">
        <w:t xml:space="preserve"> των επαγγελματικών προσόντων </w:t>
      </w:r>
      <w:r>
        <w:rPr>
          <w:b/>
        </w:rPr>
        <w:t>1.285</w:t>
      </w:r>
      <w:r w:rsidR="0073262B">
        <w:rPr>
          <w:b/>
        </w:rPr>
        <w:t xml:space="preserve"> εργαζομένων του ιδιωτικού τομέα</w:t>
      </w:r>
      <w:r>
        <w:rPr>
          <w:b/>
        </w:rPr>
        <w:t xml:space="preserve"> από όλη την Επικράτεια</w:t>
      </w:r>
      <w:r w:rsidR="0073262B">
        <w:rPr>
          <w:b/>
        </w:rPr>
        <w:t>, ανεξάρτητα από τον τομέα της οικονομίας στο οποίο απασχολούνται</w:t>
      </w:r>
      <w:r>
        <w:t>.</w:t>
      </w:r>
    </w:p>
    <w:p w:rsidR="0073262B" w:rsidRDefault="007B1790" w:rsidP="0073262B">
      <w:pPr>
        <w:pStyle w:val="a3"/>
        <w:spacing w:before="120" w:after="4"/>
        <w:ind w:right="112"/>
      </w:pPr>
      <w:r>
        <w:t>Τα προγράμματα</w:t>
      </w:r>
      <w:r w:rsidR="0073262B">
        <w:t xml:space="preserve"> κατάρτισης που θα υλοποιηθούν </w:t>
      </w:r>
      <w:r>
        <w:t>π</w:t>
      </w:r>
      <w:r w:rsidR="0073262B">
        <w:t>εριλαμβάνουν</w:t>
      </w:r>
      <w:r>
        <w:t xml:space="preserve"> θεωρητική κατάρτιση </w:t>
      </w:r>
      <w:r w:rsidRPr="007B1790">
        <w:rPr>
          <w:b/>
        </w:rPr>
        <w:t>150 ωρών</w:t>
      </w:r>
      <w:r w:rsidR="0073262B">
        <w:t xml:space="preserve">, </w:t>
      </w:r>
      <w:r>
        <w:t>στα κάτωθι θεματικά αντικείμενα</w:t>
      </w:r>
      <w:r w:rsidR="0073262B">
        <w:t>:</w:t>
      </w:r>
    </w:p>
    <w:tbl>
      <w:tblPr>
        <w:tblStyle w:val="a4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7B1790" w:rsidTr="007B1790">
        <w:tc>
          <w:tcPr>
            <w:tcW w:w="7308" w:type="dxa"/>
          </w:tcPr>
          <w:p w:rsidR="007B1790" w:rsidRPr="00A205BB" w:rsidRDefault="007B1790" w:rsidP="007B1790">
            <w:pPr>
              <w:pStyle w:val="TableParagraph"/>
              <w:numPr>
                <w:ilvl w:val="0"/>
                <w:numId w:val="3"/>
              </w:numPr>
              <w:spacing w:before="120" w:after="120"/>
              <w:ind w:right="11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Τεχνικές Προώθησης και Πώλησης Ενεργειακά Οικονομικών Δομικών Προϊόντων και Συστημάτων Ενεργειακής Αναβάθμισης Κτιρίων (</w:t>
            </w:r>
            <w:r>
              <w:rPr>
                <w:rFonts w:asciiTheme="minorHAnsi" w:hAnsiTheme="minorHAnsi" w:cstheme="minorHAnsi"/>
                <w:b/>
                <w:lang w:val="en-US"/>
              </w:rPr>
              <w:t>Green</w:t>
            </w:r>
            <w:r w:rsidRPr="00A205B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Marketing</w:t>
            </w:r>
            <w:r w:rsidRPr="00A205BB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7B1790" w:rsidTr="007B1790">
        <w:tc>
          <w:tcPr>
            <w:tcW w:w="7308" w:type="dxa"/>
          </w:tcPr>
          <w:p w:rsidR="007B1790" w:rsidRPr="00DB524A" w:rsidRDefault="007B1790" w:rsidP="007B1790">
            <w:pPr>
              <w:pStyle w:val="TableParagraph"/>
              <w:numPr>
                <w:ilvl w:val="0"/>
                <w:numId w:val="3"/>
              </w:numPr>
              <w:spacing w:before="120" w:after="120"/>
              <w:ind w:right="11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Εξοικονόμηση Ενέργειας &amp; Βελτίωση Ενεργειακής Απόδοσης Κτιριακών Εγκαταστάσεων </w:t>
            </w:r>
          </w:p>
        </w:tc>
        <w:bookmarkStart w:id="0" w:name="_GoBack"/>
        <w:bookmarkEnd w:id="0"/>
      </w:tr>
      <w:tr w:rsidR="007B1790" w:rsidTr="007B1790">
        <w:tc>
          <w:tcPr>
            <w:tcW w:w="7308" w:type="dxa"/>
          </w:tcPr>
          <w:p w:rsidR="007B1790" w:rsidRPr="00DB524A" w:rsidRDefault="007B1790" w:rsidP="007B1790">
            <w:pPr>
              <w:pStyle w:val="TableParagraph"/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Εφαρμογές Τεχνολογιών Ανανεώσιμων Πηγών Ενέργειας (ΑΠΕ) για ενεργειακές ανάγκες κτιρίων</w:t>
            </w:r>
          </w:p>
        </w:tc>
      </w:tr>
    </w:tbl>
    <w:p w:rsidR="007505D0" w:rsidRDefault="007505D0" w:rsidP="007505D0">
      <w:pPr>
        <w:pStyle w:val="a3"/>
        <w:rPr>
          <w:rFonts w:asciiTheme="minorHAnsi" w:eastAsiaTheme="minorHAnsi" w:hAnsiTheme="minorHAnsi" w:cstheme="minorHAnsi"/>
        </w:rPr>
      </w:pPr>
    </w:p>
    <w:p w:rsidR="007505D0" w:rsidRPr="007505D0" w:rsidRDefault="007505D0" w:rsidP="007505D0">
      <w:pPr>
        <w:pStyle w:val="a3"/>
        <w:rPr>
          <w:rFonts w:asciiTheme="minorHAnsi" w:eastAsiaTheme="minorHAnsi" w:hAnsiTheme="minorHAnsi" w:cstheme="minorHAnsi"/>
        </w:rPr>
      </w:pPr>
      <w:r w:rsidRPr="007505D0">
        <w:rPr>
          <w:rFonts w:asciiTheme="minorHAnsi" w:eastAsiaTheme="minorHAnsi" w:hAnsiTheme="minorHAnsi" w:cstheme="minorHAnsi"/>
        </w:rPr>
        <w:t xml:space="preserve">Η κατάρτιση, αναλόγως των εξελίξεων λόγω κορονοϊού (COVID-19), είναι δυνατόν να υλοποιηθεί με τη μέθοδο της εξ αποστάσεως τηλεκατάρτισης μετά από άδεια του Υπουργείου Ανάπτυξης. </w:t>
      </w:r>
    </w:p>
    <w:p w:rsidR="0073262B" w:rsidRPr="00C83596" w:rsidRDefault="0073262B" w:rsidP="0073262B">
      <w:pPr>
        <w:spacing w:before="121"/>
        <w:ind w:left="220"/>
        <w:jc w:val="both"/>
      </w:pPr>
      <w:r w:rsidRPr="00C83596">
        <w:t>Οι Ωφελούμενοι θα λάβουν εκ</w:t>
      </w:r>
      <w:r w:rsidR="00910B36" w:rsidRPr="00C83596">
        <w:t xml:space="preserve">παιδευτικό επίδομα </w:t>
      </w:r>
      <w:r w:rsidR="00910B36" w:rsidRPr="00C83596">
        <w:rPr>
          <w:b/>
        </w:rPr>
        <w:t>5</w:t>
      </w:r>
      <w:r w:rsidR="00C83596">
        <w:rPr>
          <w:b/>
        </w:rPr>
        <w:t>,00</w:t>
      </w:r>
      <w:r w:rsidR="00910B36" w:rsidRPr="00C83596">
        <w:rPr>
          <w:b/>
        </w:rPr>
        <w:t xml:space="preserve">€ μικτά </w:t>
      </w:r>
      <w:r w:rsidR="00910B36" w:rsidRPr="00C83596">
        <w:t>ανά ώρα κατάρτισης</w:t>
      </w:r>
      <w:r w:rsidR="00031169" w:rsidRPr="00C83596">
        <w:t xml:space="preserve"> συμπεριλαμβανομένων των νόμιμων κρατήσεων </w:t>
      </w:r>
      <w:r w:rsidR="00910B36" w:rsidRPr="00C83596">
        <w:t>.</w:t>
      </w:r>
    </w:p>
    <w:p w:rsidR="00C83596" w:rsidRDefault="00C83596" w:rsidP="002319C8">
      <w:pPr>
        <w:pStyle w:val="a3"/>
        <w:ind w:left="221" w:right="113"/>
      </w:pPr>
      <w:r w:rsidRPr="00BD11CA">
        <w:t>Τ</w:t>
      </w:r>
      <w:r>
        <w:t xml:space="preserve">α προγράμματα συμβουλευτικής, κατάρτισης &amp; πιστοποίησης θα υλοποιηθούν στο σύνολο των </w:t>
      </w:r>
      <w:r>
        <w:rPr>
          <w:b/>
        </w:rPr>
        <w:t>13 Περιφερειών της χώρας</w:t>
      </w:r>
      <w:r>
        <w:t xml:space="preserve">. </w:t>
      </w:r>
    </w:p>
    <w:p w:rsidR="00C83596" w:rsidRDefault="00BB679E" w:rsidP="00BB679E">
      <w:pPr>
        <w:pStyle w:val="a3"/>
        <w:spacing w:before="125"/>
        <w:ind w:right="114"/>
      </w:pPr>
      <w:r>
        <w:t>Η κατανομή των Ωφελούμενων ανά Δ. Περιφέρεια απεικονίζεται στον πίνακα που ακολουθεί:</w:t>
      </w:r>
    </w:p>
    <w:p w:rsidR="00050D71" w:rsidRDefault="00050D71" w:rsidP="00BB679E">
      <w:pPr>
        <w:pStyle w:val="a3"/>
        <w:spacing w:before="125"/>
        <w:ind w:right="114"/>
      </w:pPr>
    </w:p>
    <w:p w:rsidR="009A337A" w:rsidRDefault="009A337A" w:rsidP="00BB679E">
      <w:pPr>
        <w:pStyle w:val="a3"/>
        <w:spacing w:before="125"/>
        <w:ind w:right="114"/>
      </w:pPr>
    </w:p>
    <w:p w:rsidR="009A337A" w:rsidRDefault="009A337A" w:rsidP="00BB679E">
      <w:pPr>
        <w:pStyle w:val="a3"/>
        <w:spacing w:before="125"/>
        <w:ind w:right="114"/>
      </w:pPr>
    </w:p>
    <w:p w:rsidR="00807C0E" w:rsidRDefault="00807C0E" w:rsidP="00BB679E">
      <w:pPr>
        <w:pStyle w:val="a3"/>
        <w:spacing w:before="125"/>
        <w:ind w:right="114"/>
      </w:pPr>
    </w:p>
    <w:p w:rsidR="00807C0E" w:rsidRDefault="00807C0E" w:rsidP="00BB679E">
      <w:pPr>
        <w:pStyle w:val="a3"/>
        <w:spacing w:before="125"/>
        <w:ind w:right="114"/>
      </w:pPr>
    </w:p>
    <w:tbl>
      <w:tblPr>
        <w:tblW w:w="7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545"/>
        <w:gridCol w:w="2933"/>
      </w:tblGrid>
      <w:tr w:rsidR="00C83596" w:rsidRPr="00085DDF" w:rsidTr="00C83596">
        <w:trPr>
          <w:trHeight w:val="468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0070C0"/>
            <w:vAlign w:val="center"/>
          </w:tcPr>
          <w:p w:rsidR="00C83596" w:rsidRPr="00085DDF" w:rsidRDefault="00C83596" w:rsidP="00B955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085DD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3545" w:type="dxa"/>
            <w:tcBorders>
              <w:top w:val="double" w:sz="4" w:space="0" w:color="auto"/>
            </w:tcBorders>
            <w:shd w:val="clear" w:color="auto" w:fill="0070C0"/>
            <w:vAlign w:val="center"/>
          </w:tcPr>
          <w:p w:rsidR="00C83596" w:rsidRPr="00085DDF" w:rsidRDefault="00C83596" w:rsidP="00B955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085DD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Διοικητική Περιφέρεια</w:t>
            </w:r>
          </w:p>
        </w:tc>
        <w:tc>
          <w:tcPr>
            <w:tcW w:w="2933" w:type="dxa"/>
            <w:tcBorders>
              <w:top w:val="double" w:sz="4" w:space="0" w:color="auto"/>
              <w:right w:val="double" w:sz="4" w:space="0" w:color="auto"/>
            </w:tcBorders>
            <w:shd w:val="clear" w:color="auto" w:fill="0070C0"/>
          </w:tcPr>
          <w:p w:rsidR="00C83596" w:rsidRPr="00085DDF" w:rsidRDefault="00C83596" w:rsidP="00B955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085DD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Αριθμός Ωφελούμενων  ανά Διοικητική Περιφέρεια </w:t>
            </w:r>
          </w:p>
        </w:tc>
      </w:tr>
      <w:tr w:rsidR="00C83596" w:rsidRPr="00A84497" w:rsidTr="00C83596">
        <w:trPr>
          <w:trHeight w:val="277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5B3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5" w:type="dxa"/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B3B">
              <w:rPr>
                <w:rFonts w:ascii="Tahoma" w:hAnsi="Tahoma" w:cs="Tahoma"/>
                <w:sz w:val="18"/>
                <w:szCs w:val="18"/>
              </w:rPr>
              <w:t>Ανατολική Μακεδονία - Θράκη</w:t>
            </w:r>
          </w:p>
        </w:tc>
        <w:tc>
          <w:tcPr>
            <w:tcW w:w="2933" w:type="dxa"/>
            <w:tcBorders>
              <w:right w:val="double" w:sz="4" w:space="0" w:color="auto"/>
            </w:tcBorders>
            <w:vAlign w:val="center"/>
          </w:tcPr>
          <w:p w:rsidR="00C83596" w:rsidRPr="00795B3B" w:rsidRDefault="002319C8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156</w:t>
            </w:r>
          </w:p>
        </w:tc>
      </w:tr>
      <w:tr w:rsidR="00C83596" w:rsidRPr="00A84497" w:rsidTr="00C83596">
        <w:trPr>
          <w:trHeight w:val="208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5B3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5" w:type="dxa"/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B3B">
              <w:rPr>
                <w:rFonts w:ascii="Tahoma" w:hAnsi="Tahoma" w:cs="Tahoma"/>
                <w:sz w:val="18"/>
                <w:szCs w:val="18"/>
              </w:rPr>
              <w:t>Κεντρική Μακεδονία</w:t>
            </w:r>
          </w:p>
        </w:tc>
        <w:tc>
          <w:tcPr>
            <w:tcW w:w="2933" w:type="dxa"/>
            <w:tcBorders>
              <w:right w:val="double" w:sz="4" w:space="0" w:color="auto"/>
            </w:tcBorders>
            <w:vAlign w:val="center"/>
          </w:tcPr>
          <w:p w:rsidR="00C83596" w:rsidRPr="00795B3B" w:rsidRDefault="002319C8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394</w:t>
            </w:r>
          </w:p>
        </w:tc>
      </w:tr>
      <w:tr w:rsidR="00C83596" w:rsidRPr="00A84497" w:rsidTr="00C83596">
        <w:trPr>
          <w:trHeight w:val="94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5B3B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5" w:type="dxa"/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B3B">
              <w:rPr>
                <w:rFonts w:ascii="Tahoma" w:hAnsi="Tahoma" w:cs="Tahoma"/>
                <w:sz w:val="18"/>
                <w:szCs w:val="18"/>
              </w:rPr>
              <w:t>Ήπειρος</w:t>
            </w:r>
          </w:p>
        </w:tc>
        <w:tc>
          <w:tcPr>
            <w:tcW w:w="2933" w:type="dxa"/>
            <w:tcBorders>
              <w:right w:val="double" w:sz="4" w:space="0" w:color="auto"/>
            </w:tcBorders>
            <w:vAlign w:val="center"/>
          </w:tcPr>
          <w:p w:rsidR="00C83596" w:rsidRPr="00795B3B" w:rsidRDefault="002319C8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</w:tr>
      <w:tr w:rsidR="00C83596" w:rsidRPr="00A84497" w:rsidTr="00C83596">
        <w:trPr>
          <w:trHeight w:val="141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5B3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5" w:type="dxa"/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B3B">
              <w:rPr>
                <w:rFonts w:ascii="Tahoma" w:hAnsi="Tahoma" w:cs="Tahoma"/>
                <w:sz w:val="18"/>
                <w:szCs w:val="18"/>
              </w:rPr>
              <w:t>Θεσσαλία</w:t>
            </w:r>
          </w:p>
        </w:tc>
        <w:tc>
          <w:tcPr>
            <w:tcW w:w="2933" w:type="dxa"/>
            <w:tcBorders>
              <w:right w:val="double" w:sz="4" w:space="0" w:color="auto"/>
            </w:tcBorders>
            <w:vAlign w:val="center"/>
          </w:tcPr>
          <w:p w:rsidR="00C83596" w:rsidRPr="00795B3B" w:rsidRDefault="002319C8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</w:t>
            </w:r>
          </w:p>
        </w:tc>
      </w:tr>
      <w:tr w:rsidR="00C83596" w:rsidRPr="00A84497" w:rsidTr="00C83596">
        <w:trPr>
          <w:trHeight w:val="175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5B3B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45" w:type="dxa"/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B3B">
              <w:rPr>
                <w:rFonts w:ascii="Tahoma" w:hAnsi="Tahoma" w:cs="Tahoma"/>
                <w:sz w:val="18"/>
                <w:szCs w:val="18"/>
              </w:rPr>
              <w:t>Δυτική Ελλάδα</w:t>
            </w:r>
          </w:p>
        </w:tc>
        <w:tc>
          <w:tcPr>
            <w:tcW w:w="2933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C83596" w:rsidRPr="00795B3B" w:rsidRDefault="002319C8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</w:tr>
      <w:tr w:rsidR="00C83596" w:rsidRPr="00795B3B" w:rsidTr="00C83596">
        <w:trPr>
          <w:trHeight w:val="146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5B3B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45" w:type="dxa"/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B3B">
              <w:rPr>
                <w:rFonts w:ascii="Tahoma" w:hAnsi="Tahoma" w:cs="Tahoma"/>
                <w:sz w:val="18"/>
                <w:szCs w:val="18"/>
              </w:rPr>
              <w:t>Δυτική Μακεδονία</w:t>
            </w:r>
          </w:p>
        </w:tc>
        <w:tc>
          <w:tcPr>
            <w:tcW w:w="2933" w:type="dxa"/>
            <w:tcBorders>
              <w:right w:val="double" w:sz="4" w:space="0" w:color="auto"/>
            </w:tcBorders>
            <w:vAlign w:val="center"/>
          </w:tcPr>
          <w:p w:rsidR="00C83596" w:rsidRPr="00795B3B" w:rsidRDefault="002319C8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</w:tr>
      <w:tr w:rsidR="00C83596" w:rsidRPr="00795B3B" w:rsidTr="00C83596">
        <w:trPr>
          <w:trHeight w:val="146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5B3B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45" w:type="dxa"/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B3B">
              <w:rPr>
                <w:rFonts w:ascii="Tahoma" w:hAnsi="Tahoma" w:cs="Tahoma"/>
                <w:sz w:val="18"/>
                <w:szCs w:val="18"/>
              </w:rPr>
              <w:t>Πελοπόννησος</w:t>
            </w:r>
          </w:p>
        </w:tc>
        <w:tc>
          <w:tcPr>
            <w:tcW w:w="2933" w:type="dxa"/>
            <w:tcBorders>
              <w:right w:val="double" w:sz="4" w:space="0" w:color="auto"/>
            </w:tcBorders>
            <w:vAlign w:val="center"/>
          </w:tcPr>
          <w:p w:rsidR="00C83596" w:rsidRPr="00795B3B" w:rsidRDefault="002319C8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C83596" w:rsidRPr="00795B3B" w:rsidTr="00C83596">
        <w:trPr>
          <w:trHeight w:val="72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5B3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45" w:type="dxa"/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B3B">
              <w:rPr>
                <w:rFonts w:ascii="Tahoma" w:hAnsi="Tahoma" w:cs="Tahoma"/>
                <w:sz w:val="18"/>
                <w:szCs w:val="18"/>
              </w:rPr>
              <w:t>Βόρειο Αιγαίο</w:t>
            </w:r>
          </w:p>
        </w:tc>
        <w:tc>
          <w:tcPr>
            <w:tcW w:w="2933" w:type="dxa"/>
            <w:tcBorders>
              <w:right w:val="double" w:sz="4" w:space="0" w:color="auto"/>
            </w:tcBorders>
            <w:vAlign w:val="center"/>
          </w:tcPr>
          <w:p w:rsidR="00C83596" w:rsidRPr="00795B3B" w:rsidRDefault="002319C8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C83596" w:rsidRPr="00795B3B" w:rsidTr="00C83596">
        <w:trPr>
          <w:trHeight w:val="72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5B3B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45" w:type="dxa"/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B3B">
              <w:rPr>
                <w:rFonts w:ascii="Tahoma" w:hAnsi="Tahoma" w:cs="Tahoma"/>
                <w:sz w:val="18"/>
                <w:szCs w:val="18"/>
              </w:rPr>
              <w:t>Κρήτη</w:t>
            </w:r>
          </w:p>
        </w:tc>
        <w:tc>
          <w:tcPr>
            <w:tcW w:w="2933" w:type="dxa"/>
            <w:tcBorders>
              <w:right w:val="double" w:sz="4" w:space="0" w:color="auto"/>
            </w:tcBorders>
            <w:vAlign w:val="center"/>
          </w:tcPr>
          <w:p w:rsidR="00C83596" w:rsidRPr="00795B3B" w:rsidRDefault="002319C8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C83596" w:rsidRPr="00795B3B" w:rsidTr="00C83596">
        <w:trPr>
          <w:trHeight w:val="246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5B3B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45" w:type="dxa"/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B3B">
              <w:rPr>
                <w:rFonts w:ascii="Tahoma" w:hAnsi="Tahoma" w:cs="Tahoma"/>
                <w:sz w:val="18"/>
                <w:szCs w:val="18"/>
              </w:rPr>
              <w:t>Ιόνια Νησιά</w:t>
            </w:r>
          </w:p>
        </w:tc>
        <w:tc>
          <w:tcPr>
            <w:tcW w:w="2933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C83596" w:rsidRPr="00795B3B" w:rsidRDefault="002319C8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C83596" w:rsidRPr="00795B3B" w:rsidTr="00C83596">
        <w:trPr>
          <w:trHeight w:val="246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45" w:type="dxa"/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B3B">
              <w:rPr>
                <w:rFonts w:ascii="Tahoma" w:hAnsi="Tahoma" w:cs="Tahoma"/>
                <w:sz w:val="18"/>
                <w:szCs w:val="18"/>
              </w:rPr>
              <w:t>Αττική</w:t>
            </w:r>
          </w:p>
        </w:tc>
        <w:tc>
          <w:tcPr>
            <w:tcW w:w="2933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C83596" w:rsidRPr="00795B3B" w:rsidRDefault="002319C8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</w:t>
            </w:r>
          </w:p>
        </w:tc>
      </w:tr>
      <w:tr w:rsidR="00C83596" w:rsidRPr="00795B3B" w:rsidTr="00C83596">
        <w:trPr>
          <w:trHeight w:val="246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45" w:type="dxa"/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B3B">
              <w:rPr>
                <w:rFonts w:ascii="Tahoma" w:hAnsi="Tahoma" w:cs="Tahoma"/>
                <w:sz w:val="18"/>
                <w:szCs w:val="18"/>
              </w:rPr>
              <w:t>Νότιο Αιγαίο</w:t>
            </w:r>
          </w:p>
        </w:tc>
        <w:tc>
          <w:tcPr>
            <w:tcW w:w="2933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C83596" w:rsidRPr="00795B3B" w:rsidRDefault="002319C8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</w:t>
            </w:r>
          </w:p>
        </w:tc>
      </w:tr>
      <w:tr w:rsidR="00C83596" w:rsidRPr="00795B3B" w:rsidTr="00C83596">
        <w:trPr>
          <w:trHeight w:val="246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45" w:type="dxa"/>
            <w:vAlign w:val="center"/>
          </w:tcPr>
          <w:p w:rsidR="00C83596" w:rsidRPr="00795B3B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B3B">
              <w:rPr>
                <w:rFonts w:ascii="Tahoma" w:hAnsi="Tahoma" w:cs="Tahoma"/>
                <w:sz w:val="18"/>
                <w:szCs w:val="18"/>
              </w:rPr>
              <w:t>Στερεά Ελλάδα</w:t>
            </w:r>
          </w:p>
        </w:tc>
        <w:tc>
          <w:tcPr>
            <w:tcW w:w="2933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C83596" w:rsidRPr="00795B3B" w:rsidRDefault="002319C8" w:rsidP="00B95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</w:tr>
      <w:tr w:rsidR="00C83596" w:rsidRPr="00976B5C" w:rsidTr="00B95540">
        <w:trPr>
          <w:trHeight w:val="335"/>
          <w:jc w:val="center"/>
        </w:trPr>
        <w:tc>
          <w:tcPr>
            <w:tcW w:w="4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C83596" w:rsidRPr="00976B5C" w:rsidRDefault="00C83596" w:rsidP="00B955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976B5C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Γενικό Σύνολο Ωφελούμενων </w:t>
            </w:r>
          </w:p>
        </w:tc>
        <w:tc>
          <w:tcPr>
            <w:tcW w:w="293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000000" w:fill="0070C0"/>
          </w:tcPr>
          <w:p w:rsidR="00C83596" w:rsidRDefault="002319C8" w:rsidP="00B955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1</w:t>
            </w:r>
            <w:r w:rsidR="00D40F0C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285</w:t>
            </w:r>
          </w:p>
        </w:tc>
      </w:tr>
    </w:tbl>
    <w:p w:rsidR="0073262B" w:rsidRDefault="0073262B"/>
    <w:p w:rsidR="00C83596" w:rsidRPr="00D40F0C" w:rsidRDefault="00D40F0C">
      <w:r>
        <w:t xml:space="preserve">Τα </w:t>
      </w:r>
      <w:r w:rsidR="009C1DA2">
        <w:t xml:space="preserve">συγκεκριμένα προγράμματα κατάρτισης </w:t>
      </w:r>
      <w:r w:rsidR="00F83BCE">
        <w:t>πρόκειται</w:t>
      </w:r>
      <w:r w:rsidR="009C1DA2">
        <w:t xml:space="preserve"> να καλύψουν τις εκπαιδευτικές ανάγκες των εργαζομένων, λαμβάνοντας </w:t>
      </w:r>
      <w:r w:rsidR="00F83BCE">
        <w:t xml:space="preserve">μέσω αυτών </w:t>
      </w:r>
      <w:r w:rsidR="009C1DA2">
        <w:t xml:space="preserve">τις απαραίτητες γνώσεις και δεξιότητες για να ανταπεξέλθουν στις σύγχρονες απαιτήσεις. </w:t>
      </w:r>
    </w:p>
    <w:sectPr w:rsidR="00C83596" w:rsidRPr="00D40F0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52" w:rsidRDefault="00262A52">
      <w:pPr>
        <w:spacing w:after="0" w:line="240" w:lineRule="auto"/>
      </w:pPr>
      <w:r>
        <w:separator/>
      </w:r>
    </w:p>
  </w:endnote>
  <w:endnote w:type="continuationSeparator" w:id="0">
    <w:p w:rsidR="00262A52" w:rsidRDefault="0026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B5" w:rsidRDefault="00537EF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7216" behindDoc="1" locked="0" layoutInCell="1" allowOverlap="1" wp14:anchorId="530E8353" wp14:editId="6ED0E93B">
          <wp:simplePos x="0" y="0"/>
          <wp:positionH relativeFrom="page">
            <wp:posOffset>1531619</wp:posOffset>
          </wp:positionH>
          <wp:positionV relativeFrom="page">
            <wp:posOffset>9480803</wp:posOffset>
          </wp:positionV>
          <wp:extent cx="4515611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5611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451F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9462135</wp:posOffset>
              </wp:positionV>
              <wp:extent cx="5312410" cy="6350"/>
              <wp:effectExtent l="1270" t="3810" r="127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24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5851A" id="Ορθογώνιο 3" o:spid="_x0000_s1026" style="position:absolute;margin-left:88.6pt;margin-top:745.05pt;width:418.3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52" w:rsidRDefault="00262A52">
      <w:pPr>
        <w:spacing w:after="0" w:line="240" w:lineRule="auto"/>
      </w:pPr>
      <w:r>
        <w:separator/>
      </w:r>
    </w:p>
  </w:footnote>
  <w:footnote w:type="continuationSeparator" w:id="0">
    <w:p w:rsidR="00262A52" w:rsidRDefault="0026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1F" w:rsidRDefault="00FC451F">
    <w:pPr>
      <w:pStyle w:val="a6"/>
    </w:pPr>
    <w:r>
      <w:rPr>
        <w:noProof/>
        <w:lang w:eastAsia="el-GR"/>
      </w:rPr>
      <w:drawing>
        <wp:anchor distT="0" distB="0" distL="0" distR="0" simplePos="0" relativeHeight="251660288" behindDoc="0" locked="0" layoutInCell="1" allowOverlap="1" wp14:anchorId="29687A25" wp14:editId="2822A96C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1122323" cy="987361"/>
          <wp:effectExtent l="0" t="0" r="1905" b="3810"/>
          <wp:wrapTopAndBottom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2323" cy="987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377"/>
    <w:multiLevelType w:val="hybridMultilevel"/>
    <w:tmpl w:val="9AF2B6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260A3"/>
    <w:multiLevelType w:val="hybridMultilevel"/>
    <w:tmpl w:val="9B627C2A"/>
    <w:lvl w:ilvl="0" w:tplc="2C6C93EE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2" w:hanging="360"/>
      </w:pPr>
    </w:lvl>
    <w:lvl w:ilvl="2" w:tplc="0408001B" w:tentative="1">
      <w:start w:val="1"/>
      <w:numFmt w:val="lowerRoman"/>
      <w:lvlText w:val="%3."/>
      <w:lvlJc w:val="right"/>
      <w:pPr>
        <w:ind w:left="2332" w:hanging="180"/>
      </w:pPr>
    </w:lvl>
    <w:lvl w:ilvl="3" w:tplc="0408000F" w:tentative="1">
      <w:start w:val="1"/>
      <w:numFmt w:val="decimal"/>
      <w:lvlText w:val="%4."/>
      <w:lvlJc w:val="left"/>
      <w:pPr>
        <w:ind w:left="3052" w:hanging="360"/>
      </w:pPr>
    </w:lvl>
    <w:lvl w:ilvl="4" w:tplc="04080019" w:tentative="1">
      <w:start w:val="1"/>
      <w:numFmt w:val="lowerLetter"/>
      <w:lvlText w:val="%5."/>
      <w:lvlJc w:val="left"/>
      <w:pPr>
        <w:ind w:left="3772" w:hanging="360"/>
      </w:pPr>
    </w:lvl>
    <w:lvl w:ilvl="5" w:tplc="0408001B" w:tentative="1">
      <w:start w:val="1"/>
      <w:numFmt w:val="lowerRoman"/>
      <w:lvlText w:val="%6."/>
      <w:lvlJc w:val="right"/>
      <w:pPr>
        <w:ind w:left="4492" w:hanging="180"/>
      </w:pPr>
    </w:lvl>
    <w:lvl w:ilvl="6" w:tplc="0408000F" w:tentative="1">
      <w:start w:val="1"/>
      <w:numFmt w:val="decimal"/>
      <w:lvlText w:val="%7."/>
      <w:lvlJc w:val="left"/>
      <w:pPr>
        <w:ind w:left="5212" w:hanging="360"/>
      </w:pPr>
    </w:lvl>
    <w:lvl w:ilvl="7" w:tplc="04080019" w:tentative="1">
      <w:start w:val="1"/>
      <w:numFmt w:val="lowerLetter"/>
      <w:lvlText w:val="%8."/>
      <w:lvlJc w:val="left"/>
      <w:pPr>
        <w:ind w:left="5932" w:hanging="360"/>
      </w:pPr>
    </w:lvl>
    <w:lvl w:ilvl="8" w:tplc="0408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>
    <w:nsid w:val="253359A9"/>
    <w:multiLevelType w:val="hybridMultilevel"/>
    <w:tmpl w:val="3F40EF40"/>
    <w:lvl w:ilvl="0" w:tplc="5AF613B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8" w:hanging="360"/>
      </w:pPr>
    </w:lvl>
    <w:lvl w:ilvl="2" w:tplc="0408001B" w:tentative="1">
      <w:start w:val="1"/>
      <w:numFmt w:val="lowerRoman"/>
      <w:lvlText w:val="%3."/>
      <w:lvlJc w:val="right"/>
      <w:pPr>
        <w:ind w:left="2148" w:hanging="180"/>
      </w:pPr>
    </w:lvl>
    <w:lvl w:ilvl="3" w:tplc="0408000F" w:tentative="1">
      <w:start w:val="1"/>
      <w:numFmt w:val="decimal"/>
      <w:lvlText w:val="%4."/>
      <w:lvlJc w:val="left"/>
      <w:pPr>
        <w:ind w:left="2868" w:hanging="360"/>
      </w:pPr>
    </w:lvl>
    <w:lvl w:ilvl="4" w:tplc="04080019" w:tentative="1">
      <w:start w:val="1"/>
      <w:numFmt w:val="lowerLetter"/>
      <w:lvlText w:val="%5."/>
      <w:lvlJc w:val="left"/>
      <w:pPr>
        <w:ind w:left="3588" w:hanging="360"/>
      </w:pPr>
    </w:lvl>
    <w:lvl w:ilvl="5" w:tplc="0408001B" w:tentative="1">
      <w:start w:val="1"/>
      <w:numFmt w:val="lowerRoman"/>
      <w:lvlText w:val="%6."/>
      <w:lvlJc w:val="right"/>
      <w:pPr>
        <w:ind w:left="4308" w:hanging="180"/>
      </w:pPr>
    </w:lvl>
    <w:lvl w:ilvl="6" w:tplc="0408000F" w:tentative="1">
      <w:start w:val="1"/>
      <w:numFmt w:val="decimal"/>
      <w:lvlText w:val="%7."/>
      <w:lvlJc w:val="left"/>
      <w:pPr>
        <w:ind w:left="5028" w:hanging="360"/>
      </w:pPr>
    </w:lvl>
    <w:lvl w:ilvl="7" w:tplc="04080019" w:tentative="1">
      <w:start w:val="1"/>
      <w:numFmt w:val="lowerLetter"/>
      <w:lvlText w:val="%8."/>
      <w:lvlJc w:val="left"/>
      <w:pPr>
        <w:ind w:left="5748" w:hanging="360"/>
      </w:pPr>
    </w:lvl>
    <w:lvl w:ilvl="8" w:tplc="0408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04"/>
    <w:rsid w:val="00027199"/>
    <w:rsid w:val="00031169"/>
    <w:rsid w:val="00050D71"/>
    <w:rsid w:val="0009397B"/>
    <w:rsid w:val="00093FFD"/>
    <w:rsid w:val="00155D30"/>
    <w:rsid w:val="00194584"/>
    <w:rsid w:val="00195752"/>
    <w:rsid w:val="002319C8"/>
    <w:rsid w:val="00262A52"/>
    <w:rsid w:val="002761EC"/>
    <w:rsid w:val="00336BD8"/>
    <w:rsid w:val="003843AB"/>
    <w:rsid w:val="003D608A"/>
    <w:rsid w:val="00515D9A"/>
    <w:rsid w:val="00537EF0"/>
    <w:rsid w:val="00633E64"/>
    <w:rsid w:val="0073262B"/>
    <w:rsid w:val="007505D0"/>
    <w:rsid w:val="0075279D"/>
    <w:rsid w:val="007B1790"/>
    <w:rsid w:val="007B4D14"/>
    <w:rsid w:val="00807C0E"/>
    <w:rsid w:val="00910B36"/>
    <w:rsid w:val="00967A60"/>
    <w:rsid w:val="009A337A"/>
    <w:rsid w:val="009C1DA2"/>
    <w:rsid w:val="00A205BB"/>
    <w:rsid w:val="00AC57A5"/>
    <w:rsid w:val="00B235FE"/>
    <w:rsid w:val="00BB679E"/>
    <w:rsid w:val="00BD11CA"/>
    <w:rsid w:val="00C5654F"/>
    <w:rsid w:val="00C83596"/>
    <w:rsid w:val="00C9703B"/>
    <w:rsid w:val="00CC22C6"/>
    <w:rsid w:val="00D40F0C"/>
    <w:rsid w:val="00D61B10"/>
    <w:rsid w:val="00D85A49"/>
    <w:rsid w:val="00DB524A"/>
    <w:rsid w:val="00DB7967"/>
    <w:rsid w:val="00EA4286"/>
    <w:rsid w:val="00EA7E1A"/>
    <w:rsid w:val="00F43340"/>
    <w:rsid w:val="00F83BCE"/>
    <w:rsid w:val="00FC451F"/>
    <w:rsid w:val="00FE0104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6903DC-D777-443F-8CFD-87976906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6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73262B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73262B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73262B"/>
    <w:pPr>
      <w:widowControl w:val="0"/>
      <w:autoSpaceDE w:val="0"/>
      <w:autoSpaceDN w:val="0"/>
      <w:spacing w:after="0" w:line="240" w:lineRule="auto"/>
      <w:ind w:left="348"/>
    </w:pPr>
    <w:rPr>
      <w:rFonts w:ascii="Tahoma" w:eastAsia="Tahoma" w:hAnsi="Tahoma" w:cs="Tahoma"/>
    </w:rPr>
  </w:style>
  <w:style w:type="table" w:styleId="a4">
    <w:name w:val="Table Grid"/>
    <w:basedOn w:val="a1"/>
    <w:uiPriority w:val="39"/>
    <w:rsid w:val="00FE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53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37E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FC45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FC451F"/>
  </w:style>
  <w:style w:type="paragraph" w:styleId="a7">
    <w:name w:val="footer"/>
    <w:basedOn w:val="a"/>
    <w:link w:val="Char2"/>
    <w:uiPriority w:val="99"/>
    <w:unhideWhenUsed/>
    <w:rsid w:val="00FC45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FC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15</cp:revision>
  <cp:lastPrinted>2020-11-04T16:13:00Z</cp:lastPrinted>
  <dcterms:created xsi:type="dcterms:W3CDTF">2020-11-05T23:29:00Z</dcterms:created>
  <dcterms:modified xsi:type="dcterms:W3CDTF">2020-11-13T12:27:00Z</dcterms:modified>
</cp:coreProperties>
</file>